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CF" w:rsidRDefault="003E7435">
      <w:pPr>
        <w:pStyle w:val="Heading10"/>
        <w:keepNext/>
        <w:keepLines/>
        <w:shd w:val="clear" w:color="auto" w:fill="auto"/>
        <w:ind w:left="20"/>
      </w:pPr>
      <w:bookmarkStart w:id="0" w:name="bookmark0"/>
      <w:r>
        <w:t>РЕГИОНАЛЬНЫЙ ОПЕРАТОР</w:t>
      </w:r>
      <w:r>
        <w:br/>
        <w:t>Минусинской технологической зоны</w:t>
      </w:r>
      <w:bookmarkEnd w:id="0"/>
    </w:p>
    <w:p w:rsidR="00AF12CF" w:rsidRDefault="003E7435">
      <w:pPr>
        <w:pStyle w:val="Heading10"/>
        <w:keepNext/>
        <w:keepLines/>
        <w:shd w:val="clear" w:color="auto" w:fill="auto"/>
        <w:ind w:left="20"/>
      </w:pPr>
      <w:bookmarkStart w:id="1" w:name="bookmark1"/>
      <w:r>
        <w:t>(ТКО)</w:t>
      </w:r>
      <w:bookmarkEnd w:id="1"/>
    </w:p>
    <w:p w:rsidR="008C44BE" w:rsidRDefault="008C44BE">
      <w:pPr>
        <w:pStyle w:val="Bodytext20"/>
        <w:shd w:val="clear" w:color="auto" w:fill="auto"/>
        <w:spacing w:before="0" w:line="320" w:lineRule="exact"/>
        <w:ind w:firstLine="720"/>
        <w:jc w:val="both"/>
        <w:rPr>
          <w:rStyle w:val="Bodytext2Bold"/>
        </w:rPr>
      </w:pPr>
    </w:p>
    <w:p w:rsidR="00AF12CF" w:rsidRDefault="003E7435">
      <w:pPr>
        <w:pStyle w:val="Bodytext20"/>
        <w:shd w:val="clear" w:color="auto" w:fill="auto"/>
        <w:spacing w:before="0" w:line="320" w:lineRule="exact"/>
        <w:ind w:firstLine="720"/>
        <w:jc w:val="both"/>
      </w:pPr>
      <w:r>
        <w:rPr>
          <w:rStyle w:val="Bodytext2Bold"/>
        </w:rPr>
        <w:t>Твердые коммунальные отходы (ТКО)</w:t>
      </w:r>
      <w:r>
        <w:rPr>
          <w:rStyle w:val="Bodytext2Bold0"/>
        </w:rPr>
        <w:t xml:space="preserve"> </w:t>
      </w:r>
      <w:r>
        <w:t>- это отходы, образующиеся в жилых помещениях в процессе потребления физическими лицами, а также товары,</w:t>
      </w:r>
      <w:r>
        <w:t xml:space="preserve">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</w:t>
      </w:r>
      <w:r>
        <w:t>дпринимателей и подобные по составу отходам, образующимся в жилых помещениях в процессе потребления физическими лицами.</w:t>
      </w:r>
    </w:p>
    <w:p w:rsidR="00AF12CF" w:rsidRDefault="003E7435">
      <w:pPr>
        <w:pStyle w:val="Bodytext20"/>
        <w:shd w:val="clear" w:color="auto" w:fill="auto"/>
        <w:spacing w:before="0" w:line="320" w:lineRule="exact"/>
        <w:jc w:val="both"/>
      </w:pPr>
      <w:r>
        <w:t xml:space="preserve">Также к </w:t>
      </w:r>
      <w:r>
        <w:rPr>
          <w:rStyle w:val="Bodytext2Bold"/>
        </w:rPr>
        <w:t>ТКО</w:t>
      </w:r>
      <w:r>
        <w:rPr>
          <w:rStyle w:val="Bodytext2Bold0"/>
        </w:rPr>
        <w:t xml:space="preserve"> </w:t>
      </w:r>
      <w:r>
        <w:t>относятся крупногабаритные отходы - мебель, бытовая техника, отходы от текущего ремонта жилых помещений и др., размер которы</w:t>
      </w:r>
      <w:r>
        <w:t>х не позволяет осуществить их складирование в контейнерах.</w:t>
      </w:r>
    </w:p>
    <w:p w:rsidR="00AF12CF" w:rsidRDefault="003E7435">
      <w:pPr>
        <w:pStyle w:val="Bodytext20"/>
        <w:shd w:val="clear" w:color="auto" w:fill="auto"/>
        <w:spacing w:before="0" w:line="320" w:lineRule="exact"/>
        <w:ind w:firstLine="720"/>
        <w:jc w:val="both"/>
      </w:pPr>
      <w:proofErr w:type="gramStart"/>
      <w:r>
        <w:t xml:space="preserve">Отходы, образованные от опиловки древесно-кустарниковой растительности, демонтажа деревянных построек (домов, </w:t>
      </w:r>
      <w:proofErr w:type="spellStart"/>
      <w:r>
        <w:t>сарев</w:t>
      </w:r>
      <w:proofErr w:type="spellEnd"/>
      <w:r>
        <w:t>, стаек, заборов и т.д.), покоса травы, отходы сельскохозяйственных культур при уб</w:t>
      </w:r>
      <w:r>
        <w:t xml:space="preserve">орке приусадебных участков, опавшая листва в соответствии с письмом Минприроды России от 10.01.2019 № 12-50/00044-ОГ </w:t>
      </w:r>
      <w:r>
        <w:rPr>
          <w:rStyle w:val="Bodytext217ptBold"/>
        </w:rPr>
        <w:t>не относятся к</w:t>
      </w:r>
      <w:r w:rsidR="008C44BE">
        <w:rPr>
          <w:rStyle w:val="Bodytext217ptBold"/>
        </w:rPr>
        <w:t xml:space="preserve"> </w:t>
      </w:r>
      <w:r>
        <w:rPr>
          <w:rStyle w:val="Bodytext216ptBold"/>
        </w:rPr>
        <w:t>твердым коммунальным отходам</w:t>
      </w:r>
      <w:r>
        <w:rPr>
          <w:rStyle w:val="Bodytext216ptBold0"/>
        </w:rPr>
        <w:t xml:space="preserve">, </w:t>
      </w:r>
      <w:r>
        <w:t>размещение их в местах накопления ТКО, складирование в мешки для вывоза не допускается.</w:t>
      </w:r>
      <w:proofErr w:type="gramEnd"/>
    </w:p>
    <w:p w:rsidR="00AF12CF" w:rsidRDefault="003E7435">
      <w:pPr>
        <w:pStyle w:val="Bodytext20"/>
        <w:shd w:val="clear" w:color="auto" w:fill="auto"/>
        <w:spacing w:before="0" w:line="320" w:lineRule="exact"/>
        <w:ind w:firstLine="800"/>
        <w:jc w:val="both"/>
      </w:pPr>
      <w:r>
        <w:t>Обраще</w:t>
      </w:r>
      <w:r>
        <w:t>ние с такими видами отходов не относится к коммунальной услуге по обращению с ТКО, оказываемой региональным оператором, и должно осуществляться на основании отдельных договоров.</w:t>
      </w:r>
    </w:p>
    <w:p w:rsidR="00AF12CF" w:rsidRDefault="003E7435">
      <w:pPr>
        <w:pStyle w:val="Bodytext20"/>
        <w:shd w:val="clear" w:color="auto" w:fill="auto"/>
        <w:spacing w:before="0" w:line="320" w:lineRule="exact"/>
        <w:ind w:firstLine="800"/>
        <w:jc w:val="both"/>
      </w:pPr>
      <w:r>
        <w:t>Региональный оператор вправе отказать потребителям в вывозе мусора, который не</w:t>
      </w:r>
      <w:r>
        <w:t xml:space="preserve"> входит в состав ТКО</w:t>
      </w:r>
    </w:p>
    <w:p w:rsidR="00AF12CF" w:rsidRDefault="003E7435" w:rsidP="008C44BE">
      <w:pPr>
        <w:pStyle w:val="Bodytext20"/>
        <w:shd w:val="clear" w:color="auto" w:fill="auto"/>
        <w:tabs>
          <w:tab w:val="left" w:pos="4846"/>
        </w:tabs>
        <w:spacing w:before="0" w:line="320" w:lineRule="exact"/>
        <w:ind w:firstLine="800"/>
        <w:jc w:val="both"/>
      </w:pPr>
      <w:r>
        <w:t>Приказом Министерства экологии и рационального природопользования Красноярского края от 15.01.2021</w:t>
      </w:r>
      <w:r>
        <w:tab/>
        <w:t>№ 77-51-од утверждены нормативы</w:t>
      </w:r>
      <w:r w:rsidR="008C44BE">
        <w:t xml:space="preserve"> </w:t>
      </w:r>
      <w:r>
        <w:t>накопления ТКО на территории Красноярского края.</w:t>
      </w:r>
    </w:p>
    <w:p w:rsidR="00AF12CF" w:rsidRDefault="003E7435">
      <w:pPr>
        <w:pStyle w:val="Bodytext20"/>
        <w:shd w:val="clear" w:color="auto" w:fill="auto"/>
        <w:spacing w:before="0" w:line="320" w:lineRule="exact"/>
        <w:ind w:firstLine="800"/>
        <w:jc w:val="both"/>
      </w:pPr>
      <w:r>
        <w:t>Так, для Минусинской технологической зоны норматив нако</w:t>
      </w:r>
      <w:r>
        <w:t xml:space="preserve">пления </w:t>
      </w:r>
      <w:r>
        <w:rPr>
          <w:rStyle w:val="Bodytext2Bold0"/>
        </w:rPr>
        <w:t xml:space="preserve">равен 0,08мЗ/чел. </w:t>
      </w:r>
      <w:r>
        <w:t>в месяц.</w:t>
      </w:r>
    </w:p>
    <w:p w:rsidR="00AF12CF" w:rsidRDefault="003E7435">
      <w:pPr>
        <w:pStyle w:val="Bodytext20"/>
        <w:shd w:val="clear" w:color="auto" w:fill="auto"/>
        <w:spacing w:before="0" w:line="320" w:lineRule="exact"/>
        <w:ind w:firstLine="800"/>
        <w:jc w:val="both"/>
      </w:pPr>
      <w:r>
        <w:t>Тариф на услугу регионального оператора утвержден Министерством тарифной политики Красноярского края. До момента утверждения тарифа для МУП г. Минусинска «Минусинское городское хозяйство» будет применяться тариф предыдущего регионального оператора, который</w:t>
      </w:r>
      <w:r>
        <w:t xml:space="preserve"> составляет </w:t>
      </w:r>
      <w:r>
        <w:rPr>
          <w:rStyle w:val="Bodytext2Bold0"/>
        </w:rPr>
        <w:t>1083</w:t>
      </w:r>
      <w:bookmarkStart w:id="2" w:name="_GoBack"/>
      <w:bookmarkEnd w:id="2"/>
      <w:r>
        <w:rPr>
          <w:rStyle w:val="Bodytext2Bold0"/>
        </w:rPr>
        <w:t>,24 руб./</w:t>
      </w:r>
      <w:proofErr w:type="spellStart"/>
      <w:r>
        <w:rPr>
          <w:rStyle w:val="Bodytext2Bold0"/>
        </w:rPr>
        <w:t>мЗ</w:t>
      </w:r>
      <w:proofErr w:type="spellEnd"/>
      <w:r>
        <w:rPr>
          <w:rStyle w:val="Bodytext2Bold0"/>
        </w:rPr>
        <w:t xml:space="preserve">. </w:t>
      </w:r>
      <w:r>
        <w:t>(согласно п. 25 Постановления Правительства РФ от 30.05.2016г «О ценообразовании в области обращения с твердыми коммунальными отходами»).</w:t>
      </w:r>
    </w:p>
    <w:p w:rsidR="00AF12CF" w:rsidRDefault="003E7435">
      <w:pPr>
        <w:pStyle w:val="Bodytext20"/>
        <w:shd w:val="clear" w:color="auto" w:fill="auto"/>
        <w:spacing w:before="0" w:line="320" w:lineRule="exact"/>
        <w:ind w:firstLine="800"/>
        <w:jc w:val="both"/>
      </w:pPr>
      <w:r>
        <w:t>Плата за вывоз ТКО рассчитывается на каждого человека, зарегистрированного в жилом помеще</w:t>
      </w:r>
      <w:r>
        <w:t xml:space="preserve">нии, в случае, если никто не зарегистрирован, то с количества собственников. Ежемесячная плата с одного человека составляет - </w:t>
      </w:r>
      <w:r>
        <w:rPr>
          <w:rStyle w:val="Bodytext2Bold0"/>
        </w:rPr>
        <w:t>86,66 руб. (тариф 1083,24 *0,08 норма накопления).</w:t>
      </w:r>
    </w:p>
    <w:p w:rsidR="00AF12CF" w:rsidRDefault="003E7435">
      <w:pPr>
        <w:pStyle w:val="Bodytext20"/>
        <w:shd w:val="clear" w:color="auto" w:fill="auto"/>
        <w:spacing w:before="0" w:line="320" w:lineRule="exact"/>
        <w:ind w:firstLine="800"/>
        <w:jc w:val="both"/>
      </w:pPr>
      <w:r>
        <w:t xml:space="preserve">В связи с тем, что МУП г. Минусинска «Минусинское городское хозяйство» не </w:t>
      </w:r>
      <w:r>
        <w:t xml:space="preserve">владеет информацией о фактическом количестве проживающих в том или ином жилом помещении, не представляется возможным производить </w:t>
      </w:r>
      <w:r>
        <w:lastRenderedPageBreak/>
        <w:t>актуальные начисления оплаты за коммунальную услугу. Зачастую зарегистрировано граждан меньше чем проживает по факту, что приво</w:t>
      </w:r>
      <w:r>
        <w:t>дит к тому, что объем вывезенных ТКО в разы превышает норму накопления на заявленное количество проживающих граждан на территории муниципального образования.</w:t>
      </w:r>
    </w:p>
    <w:p w:rsidR="00AF12CF" w:rsidRDefault="00AF12CF">
      <w:pPr>
        <w:pStyle w:val="Bodytext40"/>
        <w:shd w:val="clear" w:color="auto" w:fill="auto"/>
        <w:spacing w:before="0" w:line="230" w:lineRule="exact"/>
        <w:ind w:right="8320"/>
        <w:jc w:val="left"/>
      </w:pPr>
    </w:p>
    <w:sectPr w:rsidR="00AF12CF">
      <w:pgSz w:w="11900" w:h="16840"/>
      <w:pgMar w:top="1040" w:right="751" w:bottom="988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35" w:rsidRDefault="003E7435">
      <w:r>
        <w:separator/>
      </w:r>
    </w:p>
  </w:endnote>
  <w:endnote w:type="continuationSeparator" w:id="0">
    <w:p w:rsidR="003E7435" w:rsidRDefault="003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35" w:rsidRDefault="003E7435"/>
  </w:footnote>
  <w:footnote w:type="continuationSeparator" w:id="0">
    <w:p w:rsidR="003E7435" w:rsidRDefault="003E74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F12CF"/>
    <w:rsid w:val="003E7435"/>
    <w:rsid w:val="008C44BE"/>
    <w:rsid w:val="00A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14pt">
    <w:name w:val="Body text (6) + 14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7ptBold">
    <w:name w:val="Body text (2) + 17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Bodytext216ptBold">
    <w:name w:val="Body text (2) + 16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216ptBold0">
    <w:name w:val="Body text (2) + 16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line="20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after="7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Знаменка</cp:lastModifiedBy>
  <cp:revision>3</cp:revision>
  <dcterms:created xsi:type="dcterms:W3CDTF">2023-05-24T08:53:00Z</dcterms:created>
  <dcterms:modified xsi:type="dcterms:W3CDTF">2023-05-24T08:57:00Z</dcterms:modified>
</cp:coreProperties>
</file>